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0F33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განმარტება</w:t>
      </w:r>
    </w:p>
    <w:p w14:paraId="7938ECF1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b/>
          <w:sz w:val="24"/>
          <w:szCs w:val="24"/>
        </w:rPr>
        <w:t>NUMERYS GF</w:t>
      </w:r>
      <w:r w:rsidRPr="005A5A6C">
        <w:rPr>
          <w:sz w:val="24"/>
          <w:szCs w:val="24"/>
        </w:rPr>
        <w:t xml:space="preserve"> არის კომპოზიტი CAD CAM სისტემებისთვის, რომელიც დაფუძნებულია მინის ბოჭკოებსა და ფისებზე</w:t>
      </w:r>
      <w:r>
        <w:rPr>
          <w:sz w:val="24"/>
          <w:szCs w:val="24"/>
        </w:rPr>
        <w:t xml:space="preserve"> </w:t>
      </w:r>
      <w:r w:rsidRPr="005A5A6C">
        <w:rPr>
          <w:sz w:val="24"/>
          <w:szCs w:val="24"/>
        </w:rPr>
        <w:t>ეპოქსიდური. ის ხელმისაწვდომია ლაბორატორიულ პოდებში და ცალკეულ PC12 ბლოკებში.</w:t>
      </w:r>
    </w:p>
    <w:p w14:paraId="17E6DC74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ჩვენებები</w:t>
      </w:r>
    </w:p>
    <w:p w14:paraId="0EA40E35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NUMERYS GF მითითებულია ანატომიური მინაბოჭკოვანი მასალის შემდგომი საყრდენის მოსამზადებლად.</w:t>
      </w:r>
    </w:p>
    <w:p w14:paraId="46C1C658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ესთეტიკური CAD CAM ტექნოლოგიების გამოყენებით.</w:t>
      </w:r>
    </w:p>
    <w:p w14:paraId="12E2F590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უკუჩვენებები</w:t>
      </w:r>
    </w:p>
    <w:p w14:paraId="27F355C1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b/>
          <w:sz w:val="24"/>
          <w:szCs w:val="24"/>
        </w:rPr>
        <w:t>NUMERYS GF</w:t>
      </w:r>
      <w:r w:rsidRPr="005A5A6C">
        <w:rPr>
          <w:sz w:val="24"/>
          <w:szCs w:val="24"/>
        </w:rPr>
        <w:t xml:space="preserve"> არ არის მითითებული სხვა სტომატოლოგიური რესტავრაციის მოსამზადებლად</w:t>
      </w:r>
    </w:p>
    <w:p w14:paraId="3D2D88A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გვირგვინები / ჩასმა / ონლეი / ვინირები / ხიდები</w:t>
      </w:r>
    </w:p>
    <w:p w14:paraId="16E16490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სარგებელი</w:t>
      </w:r>
    </w:p>
    <w:p w14:paraId="5FDBAA9F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ულითონო პოსტაბატმენტები.</w:t>
      </w:r>
    </w:p>
    <w:p w14:paraId="092D8C74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უკეთესი ესთეტიკისთვის საყრდენის გამჭვირვალობა არ არის საჭირო.</w:t>
      </w:r>
    </w:p>
    <w:p w14:paraId="3371E6D4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უკეთესი მექანიკური სიმტკიცე, ვიდრე სხვა ქინძისთავის რეკონსტრუქცია , პირდაპირი რეკონსტრუქცია საყრდენი ქინძისთავის შეკავებით.</w:t>
      </w:r>
    </w:p>
    <w:p w14:paraId="33B11EB2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დენტინის მსგავსი ელასტიურობის მოდული, რომელიც აძლევს მასალას მოქნილობას</w:t>
      </w:r>
    </w:p>
    <w:p w14:paraId="2CF357AD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რაც ამცირებს შეკუმშვას და ფესვის მოტეხილობის რისკს.</w:t>
      </w:r>
    </w:p>
    <w:p w14:paraId="0E77467E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უკეთესი ადაპტაცია ფესვის არხის ანატომიასთან, რაც აუმჯობესებს ადჰეზიას პოსტ-კბილებს შორის ღერო და თავად არხი.</w:t>
      </w:r>
    </w:p>
    <w:p w14:paraId="10D7FD8F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მასალის მარტივი დაფქვა ალმასის საჭრელის გამოყენებით.</w:t>
      </w:r>
    </w:p>
    <w:p w14:paraId="492709C0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არხის და პოსტაბუტმენტის მომზადება იგივე, რაც გამოიყენება ბოჭკოვანი ბოჭკოებისთვის მინის.</w:t>
      </w:r>
    </w:p>
    <w:p w14:paraId="79ADEA6E" w14:textId="77777777" w:rsidR="005A5A6C" w:rsidRPr="005A5A6C" w:rsidRDefault="005A5A6C" w:rsidP="005A5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5A6C">
        <w:rPr>
          <w:sz w:val="24"/>
          <w:szCs w:val="24"/>
        </w:rPr>
        <w:t>ცემენტაციის პროცედურა იგივეა, რაც გამოიყენება რესტავრაციის შემდგომ</w:t>
      </w:r>
      <w:r>
        <w:rPr>
          <w:sz w:val="24"/>
          <w:szCs w:val="24"/>
        </w:rPr>
        <w:t>i</w:t>
      </w:r>
    </w:p>
    <w:p w14:paraId="20077C71" w14:textId="77777777" w:rsidR="005A5A6C" w:rsidRPr="005A5A6C" w:rsidRDefault="005A5A6C" w:rsidP="005A5A6C">
      <w:pPr>
        <w:pStyle w:val="ListParagraph"/>
        <w:rPr>
          <w:sz w:val="24"/>
          <w:szCs w:val="24"/>
        </w:rPr>
      </w:pPr>
      <w:r w:rsidRPr="005A5A6C">
        <w:rPr>
          <w:sz w:val="24"/>
          <w:szCs w:val="24"/>
        </w:rPr>
        <w:t>შემადგენლობა</w:t>
      </w:r>
    </w:p>
    <w:p w14:paraId="5A3DC5E7" w14:textId="466958BD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ბოჭკოვანი მინა</w:t>
      </w:r>
      <w:r>
        <w:rPr>
          <w:sz w:val="24"/>
          <w:szCs w:val="24"/>
        </w:rPr>
        <w:t xml:space="preserve">: </w:t>
      </w:r>
      <w:r w:rsidR="00130768">
        <w:rPr>
          <w:sz w:val="24"/>
          <w:szCs w:val="24"/>
          <w:lang w:val="ka-GE"/>
        </w:rPr>
        <w:t>75-</w:t>
      </w:r>
      <w:r w:rsidRPr="005A5A6C">
        <w:rPr>
          <w:sz w:val="24"/>
          <w:szCs w:val="24"/>
        </w:rPr>
        <w:t>80%</w:t>
      </w:r>
    </w:p>
    <w:p w14:paraId="0EDE1A5E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ეპოქსიდური ფისი: 20-25%</w:t>
      </w:r>
    </w:p>
    <w:p w14:paraId="79A64DC1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აპლიკაცია</w:t>
      </w:r>
    </w:p>
    <w:p w14:paraId="7C01DB7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საღარავი</w:t>
      </w:r>
    </w:p>
    <w:p w14:paraId="6E4E9709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1 დაასკანირეთ არხის პრეპარატი პირდაპირ პირში ან ცვილის/ცვილის მოდელზე</w:t>
      </w:r>
    </w:p>
    <w:p w14:paraId="580536DE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ფისი.</w:t>
      </w:r>
    </w:p>
    <w:p w14:paraId="5B16D390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lastRenderedPageBreak/>
        <w:t>2 აირჩიეთ და შეცვალეთ მასალა თქვენი ჩვეულებრივი CAD პროგრამული უზრუნველყოფის ინსტრუქციის მიხედვით.</w:t>
      </w:r>
    </w:p>
    <w:p w14:paraId="15BF3141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3 მოათავსეთ NUMERYS GF საღეჭი მანქანაში მწარმოებლის მიერ განსაზღვრული პარამეტრების მიხედვით.</w:t>
      </w:r>
    </w:p>
    <w:p w14:paraId="62D13A57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4 გააგრძელეთ ელემენტის დაფქვა ბრილიანტის ბუსუსით.</w:t>
      </w:r>
    </w:p>
    <w:p w14:paraId="0FB8107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5 ამოიღეთ საყრდენი ბურღიდან და დაასრულეთ ბრილიანტის ბუსუსით.</w:t>
      </w:r>
    </w:p>
    <w:p w14:paraId="235D9967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6 გააშრეთ საყრდენი ჰაერის ჭავლით, რათა მთლიანად აღმოიფხვრას ტენიანობა.</w:t>
      </w:r>
    </w:p>
    <w:p w14:paraId="58D2BFE9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კლინიკური პროტოკოლი</w:t>
      </w:r>
    </w:p>
    <w:p w14:paraId="28193007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ფესვის არხის მომზადება</w:t>
      </w:r>
    </w:p>
    <w:p w14:paraId="695442F9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1 არხი ამოიღეთ ფოსფორის მჟავით.</w:t>
      </w:r>
    </w:p>
    <w:p w14:paraId="609A40C4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2 კარგად ჩამოიბანეთ და გააშრეთ ქაღალდის კონუსებით.</w:t>
      </w:r>
    </w:p>
    <w:p w14:paraId="18B39824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3 გამოიყენეთ ჩვეულებრივი წებოვანი სისტემა არხზე მწარმოებლის მითითებების შესაბამისად.</w:t>
      </w:r>
    </w:p>
    <w:p w14:paraId="3CE05700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4 მშრალი.</w:t>
      </w:r>
    </w:p>
    <w:p w14:paraId="05765E24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პოსტაბატმენტის მომზადება</w:t>
      </w:r>
    </w:p>
    <w:p w14:paraId="290634F7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1 მოათავსეთ საყრდენი საყრდენი ფესვში სათანადო მორგების შესამოწმებლად. Თუ რეტუშირება აუცილებელია, შეასრულეთ ისინი ბრილიანტის ბუსუსით.</w:t>
      </w:r>
    </w:p>
    <w:p w14:paraId="6E2AAFC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2 საყრდენი გაასუფთავეთ სპირტით და გააშრეთ ჰაერით.</w:t>
      </w:r>
    </w:p>
    <w:p w14:paraId="76A78E5C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3 დაიტანეთ სილანის ფენა პოსტის და საყრდენის მთელ ზედაპირზე და დატოვეთ</w:t>
      </w:r>
    </w:p>
    <w:p w14:paraId="150D4A7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გააშრეთ 1 წუთის განმავლობაში.</w:t>
      </w:r>
    </w:p>
    <w:p w14:paraId="39EFB358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4 დაიტანეთ ჩვეულებრივი წებოვანი სისტემა საყრდენისა და საყრდენის მთელ ზედაპირზე.</w:t>
      </w:r>
    </w:p>
    <w:p w14:paraId="3BBFFC34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b/>
          <w:sz w:val="24"/>
          <w:szCs w:val="24"/>
        </w:rPr>
        <w:t>შენიშვნა:</w:t>
      </w:r>
      <w:r w:rsidRPr="005A5A6C">
        <w:rPr>
          <w:sz w:val="24"/>
          <w:szCs w:val="24"/>
        </w:rPr>
        <w:t xml:space="preserve"> კატეგორიულად რეკომენდირებულია სილანისა და წებოვანი მასალის დაყენება სრულყოფილი ადჰეზიისთვის</w:t>
      </w:r>
    </w:p>
    <w:p w14:paraId="4F3B2A6F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პოსტზე და საყრდენზე ცემენტაციამდე</w:t>
      </w:r>
    </w:p>
    <w:p w14:paraId="2BD7D278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5 და</w:t>
      </w:r>
      <w:r>
        <w:rPr>
          <w:sz w:val="24"/>
          <w:szCs w:val="24"/>
        </w:rPr>
        <w:t xml:space="preserve"> </w:t>
      </w:r>
      <w:r w:rsidRPr="005A5A6C">
        <w:rPr>
          <w:sz w:val="24"/>
          <w:szCs w:val="24"/>
        </w:rPr>
        <w:t>ცემენტი პოსტაბუტმენტი თვითწებვადი უნივერსალური ფისოვანი ცემენტის გამოყენებით.</w:t>
      </w:r>
    </w:p>
    <w:p w14:paraId="11B21FE3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b/>
          <w:sz w:val="24"/>
          <w:szCs w:val="24"/>
        </w:rPr>
        <w:t xml:space="preserve">შენიშვნა: </w:t>
      </w:r>
      <w:r w:rsidRPr="005A5A6C">
        <w:rPr>
          <w:sz w:val="24"/>
          <w:szCs w:val="24"/>
        </w:rPr>
        <w:t>არ დატოვოთ საყრდენი დაუფარავი ცემენტაციის შემდეგ. ძალიან რეკომენდებულია</w:t>
      </w:r>
      <w:r>
        <w:rPr>
          <w:sz w:val="24"/>
          <w:szCs w:val="24"/>
        </w:rPr>
        <w:t xml:space="preserve"> </w:t>
      </w:r>
      <w:r w:rsidRPr="005A5A6C">
        <w:rPr>
          <w:sz w:val="24"/>
          <w:szCs w:val="24"/>
        </w:rPr>
        <w:t>ფისოვანი ცემენტის გამოყენებისას არ დარჩეს საყრდენი პირის ღრუში.</w:t>
      </w:r>
    </w:p>
    <w:p w14:paraId="797DF638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lastRenderedPageBreak/>
        <w:t>გვირგვინის მომზადება</w:t>
      </w:r>
    </w:p>
    <w:p w14:paraId="705BA95E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1. მოათავსეთ გვირგვინი, რათა შეამოწმოთ, რომ ის სწორად არის დაყენებული.</w:t>
      </w:r>
    </w:p>
    <w:p w14:paraId="077D7210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2. პროთეზის გვირგვინი მოამზადეთ მწარმოებლის ინსტრუქციის მიხედვით.</w:t>
      </w:r>
    </w:p>
    <w:p w14:paraId="728D8D7A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3. ცემენტი გვირგვინი თვითწებვადი უნივერსალური ფისოვანი ცემენტის გამოყენებით.</w:t>
      </w:r>
    </w:p>
    <w:p w14:paraId="3B796DF8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ᲡᲘᲤᲠᲗᲮᲘᲚᲘᲡ ᲖᲝᲛᲔᲑᲘ</w:t>
      </w:r>
    </w:p>
    <w:p w14:paraId="3C7C8542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 xml:space="preserve"> ატარეთ ნიღაბი და დამცავი სათვალე ელემენტების დაფქვისა და დასრულებისას.</w:t>
      </w:r>
    </w:p>
    <w:p w14:paraId="1010F75E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 xml:space="preserve"> გამოიყენეთ ბრილიანტის მბრუნავი საჭრელი მარშრუტისა და დასრულებისთვის. არ გამოიყენოთ მაკრატელი ან ქლიბი, რადგან</w:t>
      </w:r>
    </w:p>
    <w:p w14:paraId="75EE8213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მათ შეუძლიათ დააზიანონ მინის ბოჭკოები ელემენტის შიგნით.</w:t>
      </w:r>
    </w:p>
    <w:p w14:paraId="5A010431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 xml:space="preserve"> არ გამოიყენოთ პაციენტებში, რომლებსაც აქვთ ცნობილი მგრძნობელობა ელემენტში არსებული კომპონენტების მიმართ.</w:t>
      </w:r>
    </w:p>
    <w:p w14:paraId="740ABE37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ეს პროდუქტი განკუთვნილია სტომატოლოგებისა და სტომატოლოგების მიერ.</w:t>
      </w:r>
    </w:p>
    <w:p w14:paraId="5B302BD4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NUMERYS GF-ისგან დამზადებული საყრდენი არასოდეს უნდა დაიწვას</w:t>
      </w:r>
    </w:p>
    <w:p w14:paraId="620E5AED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დამუშავება.</w:t>
      </w:r>
    </w:p>
    <w:p w14:paraId="5BC31A0D" w14:textId="77777777" w:rsidR="005A5A6C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დამუშავების შემდეგ არ არის აუცილებელი NUMERYS GF-ის ლაით-განკურნება.</w:t>
      </w:r>
    </w:p>
    <w:p w14:paraId="66CB4A66" w14:textId="77777777" w:rsidR="005A5A6C" w:rsidRPr="005A5A6C" w:rsidRDefault="005A5A6C" w:rsidP="005A5A6C">
      <w:pPr>
        <w:rPr>
          <w:sz w:val="24"/>
          <w:szCs w:val="24"/>
          <w:lang w:val="ka-GE"/>
        </w:rPr>
      </w:pPr>
      <w:r w:rsidRPr="005A5A6C">
        <w:rPr>
          <w:sz w:val="24"/>
          <w:szCs w:val="24"/>
        </w:rPr>
        <w:t xml:space="preserve">მნიშვნელოვანია: ეს ინსტრუქციები ეფუძნება კლინიკურ და ლაბორატორიულ კვლევებს. </w:t>
      </w:r>
    </w:p>
    <w:p w14:paraId="1FF2178E" w14:textId="77777777" w:rsidR="005A5A6C" w:rsidRPr="005A5A6C" w:rsidRDefault="005A5A6C" w:rsidP="005A5A6C">
      <w:pPr>
        <w:rPr>
          <w:sz w:val="24"/>
          <w:szCs w:val="24"/>
        </w:rPr>
      </w:pPr>
      <w:r>
        <w:rPr>
          <w:sz w:val="24"/>
          <w:szCs w:val="24"/>
        </w:rPr>
        <w:t xml:space="preserve">პროცედურის წარმატება </w:t>
      </w:r>
      <w:r w:rsidRPr="005A5A6C">
        <w:rPr>
          <w:sz w:val="24"/>
          <w:szCs w:val="24"/>
        </w:rPr>
        <w:t>დამოკიდებულია სწორ დიაგნოზზე და ზუსტ ტექნიკაზე.</w:t>
      </w:r>
    </w:p>
    <w:p w14:paraId="257E56AA" w14:textId="77777777" w:rsidR="005A5A6C" w:rsidRPr="005A5A6C" w:rsidRDefault="005A5A6C" w:rsidP="005A5A6C">
      <w:pPr>
        <w:rPr>
          <w:b/>
          <w:sz w:val="24"/>
          <w:szCs w:val="24"/>
        </w:rPr>
      </w:pPr>
      <w:r w:rsidRPr="005A5A6C">
        <w:rPr>
          <w:b/>
          <w:sz w:val="24"/>
          <w:szCs w:val="24"/>
        </w:rPr>
        <w:t>ტექნიკური მომსახურება</w:t>
      </w:r>
    </w:p>
    <w:p w14:paraId="7ACF7472" w14:textId="77777777" w:rsidR="003040CF" w:rsidRPr="005A5A6C" w:rsidRDefault="005A5A6C" w:rsidP="005A5A6C">
      <w:pPr>
        <w:rPr>
          <w:sz w:val="24"/>
          <w:szCs w:val="24"/>
        </w:rPr>
      </w:pPr>
      <w:r w:rsidRPr="005A5A6C">
        <w:rPr>
          <w:sz w:val="24"/>
          <w:szCs w:val="24"/>
        </w:rPr>
        <w:t>ინახება ოთახის ტემპერატურაზე</w:t>
      </w:r>
      <w:r>
        <w:rPr>
          <w:sz w:val="24"/>
          <w:szCs w:val="24"/>
        </w:rPr>
        <w:t xml:space="preserve"> 20</w:t>
      </w:r>
      <w:r w:rsidRPr="005A5A6C">
        <w:rPr>
          <w:sz w:val="24"/>
          <w:szCs w:val="24"/>
        </w:rPr>
        <w:t>°C</w:t>
      </w:r>
      <w:r>
        <w:rPr>
          <w:sz w:val="24"/>
          <w:szCs w:val="24"/>
        </w:rPr>
        <w:t xml:space="preserve"> </w:t>
      </w:r>
      <w:r w:rsidRPr="005A5A6C">
        <w:rPr>
          <w:sz w:val="24"/>
          <w:szCs w:val="24"/>
        </w:rPr>
        <w:t xml:space="preserve"> და სინათლისაგან დაცულ ადგილას.</w:t>
      </w:r>
    </w:p>
    <w:sectPr w:rsidR="003040CF" w:rsidRPr="005A5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0AA"/>
    <w:multiLevelType w:val="hybridMultilevel"/>
    <w:tmpl w:val="FEE416A4"/>
    <w:lvl w:ilvl="0" w:tplc="3F90E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2204"/>
    <w:multiLevelType w:val="hybridMultilevel"/>
    <w:tmpl w:val="36024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6363">
    <w:abstractNumId w:val="1"/>
  </w:num>
  <w:num w:numId="2" w16cid:durableId="185279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6C"/>
    <w:rsid w:val="00130768"/>
    <w:rsid w:val="003040CF"/>
    <w:rsid w:val="005A5A6C"/>
    <w:rsid w:val="00A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EB9D"/>
  <w15:chartTrackingRefBased/>
  <w15:docId w15:val="{7BFB0BAC-072F-4572-B0DB-55085BB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3</cp:revision>
  <dcterms:created xsi:type="dcterms:W3CDTF">2022-07-21T17:41:00Z</dcterms:created>
  <dcterms:modified xsi:type="dcterms:W3CDTF">2022-07-21T18:08:00Z</dcterms:modified>
</cp:coreProperties>
</file>